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0F" w:rsidRPr="00FD2C0F" w:rsidRDefault="00FD2C0F" w:rsidP="00FD2C0F">
      <w:pPr>
        <w:widowControl/>
        <w:spacing w:line="600" w:lineRule="atLeast"/>
        <w:jc w:val="center"/>
        <w:rPr>
          <w:rFonts w:ascii="Microsoft Yahei" w:eastAsia="宋体" w:hAnsi="Microsoft Yahei" w:cs="宋体"/>
          <w:b/>
          <w:bCs/>
          <w:color w:val="162582"/>
          <w:kern w:val="0"/>
          <w:sz w:val="33"/>
          <w:szCs w:val="33"/>
        </w:rPr>
      </w:pPr>
      <w:r w:rsidRPr="00FD2C0F">
        <w:rPr>
          <w:rFonts w:ascii="Microsoft Yahei" w:eastAsia="宋体" w:hAnsi="Microsoft Yahei" w:cs="宋体"/>
          <w:b/>
          <w:bCs/>
          <w:color w:val="162582"/>
          <w:kern w:val="0"/>
          <w:sz w:val="33"/>
          <w:szCs w:val="33"/>
        </w:rPr>
        <w:t>《防范和处置非法集资条例》（国务院令第</w:t>
      </w:r>
      <w:r w:rsidRPr="00FD2C0F">
        <w:rPr>
          <w:rFonts w:ascii="Microsoft Yahei" w:eastAsia="宋体" w:hAnsi="Microsoft Yahei" w:cs="宋体"/>
          <w:b/>
          <w:bCs/>
          <w:color w:val="162582"/>
          <w:kern w:val="0"/>
          <w:sz w:val="33"/>
          <w:szCs w:val="33"/>
        </w:rPr>
        <w:t>737</w:t>
      </w:r>
      <w:r w:rsidRPr="00FD2C0F">
        <w:rPr>
          <w:rFonts w:ascii="Microsoft Yahei" w:eastAsia="宋体" w:hAnsi="Microsoft Yahei" w:cs="宋体"/>
          <w:b/>
          <w:bCs/>
          <w:color w:val="162582"/>
          <w:kern w:val="0"/>
          <w:sz w:val="33"/>
          <w:szCs w:val="33"/>
        </w:rPr>
        <w:t>号）</w:t>
      </w:r>
    </w:p>
    <w:p w:rsidR="00FD2C0F" w:rsidRPr="00FD2C0F" w:rsidRDefault="00FD2C0F" w:rsidP="00FD2C0F">
      <w:pPr>
        <w:widowControl/>
        <w:spacing w:line="480" w:lineRule="atLeast"/>
        <w:jc w:val="center"/>
        <w:rPr>
          <w:rFonts w:ascii="宋体" w:eastAsia="宋体" w:hAnsi="宋体" w:cs="宋体"/>
          <w:color w:val="000000"/>
          <w:kern w:val="0"/>
          <w:sz w:val="27"/>
          <w:szCs w:val="27"/>
        </w:rPr>
      </w:pPr>
      <w:r w:rsidRPr="00FD2C0F">
        <w:rPr>
          <w:rFonts w:ascii="方正小标宋简体" w:eastAsia="方正小标宋简体" w:hAnsi="宋体" w:cs="宋体" w:hint="eastAsia"/>
          <w:color w:val="000080"/>
          <w:kern w:val="0"/>
          <w:sz w:val="44"/>
          <w:szCs w:val="44"/>
        </w:rPr>
        <w:t>中华人民共和国国务院令</w:t>
      </w:r>
    </w:p>
    <w:p w:rsidR="00FD2C0F" w:rsidRPr="00FD2C0F" w:rsidRDefault="00FD2C0F" w:rsidP="00FD2C0F">
      <w:pPr>
        <w:widowControl/>
        <w:spacing w:line="480" w:lineRule="atLeast"/>
        <w:jc w:val="center"/>
        <w:rPr>
          <w:rFonts w:ascii="宋体" w:eastAsia="宋体" w:hAnsi="宋体" w:cs="宋体" w:hint="eastAsia"/>
          <w:color w:val="000000"/>
          <w:kern w:val="0"/>
          <w:sz w:val="27"/>
          <w:szCs w:val="27"/>
        </w:rPr>
      </w:pPr>
      <w:r w:rsidRPr="00FD2C0F">
        <w:rPr>
          <w:rFonts w:ascii="宋体" w:eastAsia="宋体" w:hAnsi="宋体" w:cs="宋体" w:hint="eastAsia"/>
          <w:color w:val="000080"/>
          <w:kern w:val="0"/>
          <w:sz w:val="27"/>
          <w:szCs w:val="27"/>
        </w:rPr>
        <w:t> </w:t>
      </w:r>
      <w:r w:rsidRPr="00FD2C0F">
        <w:rPr>
          <w:rFonts w:ascii="方正小标宋简体" w:eastAsia="方正小标宋简体" w:hAnsi="宋体" w:cs="宋体" w:hint="eastAsia"/>
          <w:color w:val="000080"/>
          <w:kern w:val="0"/>
          <w:sz w:val="44"/>
          <w:szCs w:val="44"/>
        </w:rPr>
        <w:t>第737号</w:t>
      </w:r>
    </w:p>
    <w:p w:rsidR="00FD2C0F" w:rsidRPr="00FD2C0F" w:rsidRDefault="00FD2C0F" w:rsidP="00FD2C0F">
      <w:pPr>
        <w:widowControl/>
        <w:spacing w:after="240" w:line="480" w:lineRule="atLeast"/>
        <w:jc w:val="center"/>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 </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《防范和处置非法集资条例》已经2020年12月21日国务院第119次常务会议通过，现予公布，自2021年5月1日起施行。</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 </w:t>
      </w:r>
    </w:p>
    <w:p w:rsidR="00FD2C0F" w:rsidRPr="00FD2C0F" w:rsidRDefault="00FD2C0F" w:rsidP="00FD2C0F">
      <w:pPr>
        <w:widowControl/>
        <w:spacing w:after="240" w:line="540" w:lineRule="atLeast"/>
        <w:jc w:val="right"/>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总理  李克强</w:t>
      </w:r>
    </w:p>
    <w:p w:rsidR="00FD2C0F" w:rsidRPr="00FD2C0F" w:rsidRDefault="00FD2C0F" w:rsidP="00FD2C0F">
      <w:pPr>
        <w:widowControl/>
        <w:spacing w:line="540" w:lineRule="atLeast"/>
        <w:jc w:val="right"/>
        <w:rPr>
          <w:rFonts w:ascii="宋体" w:eastAsia="宋体" w:hAnsi="宋体" w:cs="宋体" w:hint="eastAsia"/>
          <w:color w:val="000000"/>
          <w:kern w:val="0"/>
          <w:sz w:val="27"/>
          <w:szCs w:val="27"/>
        </w:rPr>
      </w:pPr>
      <w:r w:rsidRPr="00FD2C0F">
        <w:rPr>
          <w:rFonts w:ascii="Times New Roman" w:eastAsia="宋体" w:hAnsi="Times New Roman" w:cs="Times New Roman"/>
          <w:color w:val="000000"/>
          <w:kern w:val="0"/>
          <w:sz w:val="27"/>
          <w:szCs w:val="27"/>
        </w:rPr>
        <w:t>2021</w:t>
      </w:r>
      <w:r w:rsidRPr="00FD2C0F">
        <w:rPr>
          <w:rFonts w:ascii="宋体" w:eastAsia="宋体" w:hAnsi="宋体" w:cs="宋体" w:hint="eastAsia"/>
          <w:color w:val="000000"/>
          <w:kern w:val="0"/>
          <w:sz w:val="27"/>
          <w:szCs w:val="27"/>
        </w:rPr>
        <w:t>年</w:t>
      </w:r>
      <w:r w:rsidRPr="00FD2C0F">
        <w:rPr>
          <w:rFonts w:ascii="Times New Roman" w:eastAsia="宋体" w:hAnsi="Times New Roman" w:cs="Times New Roman"/>
          <w:color w:val="000000"/>
          <w:kern w:val="0"/>
          <w:sz w:val="27"/>
          <w:szCs w:val="27"/>
        </w:rPr>
        <w:t>1</w:t>
      </w:r>
      <w:r w:rsidRPr="00FD2C0F">
        <w:rPr>
          <w:rFonts w:ascii="宋体" w:eastAsia="宋体" w:hAnsi="宋体" w:cs="宋体" w:hint="eastAsia"/>
          <w:color w:val="000000"/>
          <w:kern w:val="0"/>
          <w:sz w:val="27"/>
          <w:szCs w:val="27"/>
        </w:rPr>
        <w:t>月</w:t>
      </w:r>
      <w:r w:rsidRPr="00FD2C0F">
        <w:rPr>
          <w:rFonts w:ascii="Times New Roman" w:eastAsia="宋体" w:hAnsi="Times New Roman" w:cs="Times New Roman"/>
          <w:color w:val="000000"/>
          <w:kern w:val="0"/>
          <w:sz w:val="27"/>
          <w:szCs w:val="27"/>
        </w:rPr>
        <w:t>26</w:t>
      </w:r>
      <w:r w:rsidRPr="00FD2C0F">
        <w:rPr>
          <w:rFonts w:ascii="宋体" w:eastAsia="宋体" w:hAnsi="宋体" w:cs="宋体" w:hint="eastAsia"/>
          <w:color w:val="000000"/>
          <w:kern w:val="0"/>
          <w:sz w:val="27"/>
          <w:szCs w:val="27"/>
        </w:rPr>
        <w:t>日</w:t>
      </w:r>
    </w:p>
    <w:p w:rsidR="00FD2C0F" w:rsidRPr="00FD2C0F" w:rsidRDefault="00FD2C0F" w:rsidP="00FD2C0F">
      <w:pPr>
        <w:widowControl/>
        <w:spacing w:after="240" w:line="480" w:lineRule="atLeast"/>
        <w:ind w:firstLine="480"/>
        <w:jc w:val="center"/>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 </w:t>
      </w:r>
    </w:p>
    <w:p w:rsidR="00FD2C0F" w:rsidRPr="00FD2C0F" w:rsidRDefault="00FD2C0F" w:rsidP="00FD2C0F">
      <w:pPr>
        <w:widowControl/>
        <w:spacing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b/>
          <w:bCs/>
          <w:color w:val="000000"/>
          <w:kern w:val="0"/>
          <w:sz w:val="27"/>
        </w:rPr>
        <w:t>第一章  总  则</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第一条  为了防范和处置非法集资，保护社会公众合法权益，防范化解金融风险，维护经济秩序和社会稳定，制定本条例。</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第二条  本条例所称非法集资，是指未经国务院金融管理部门依法许可或者违反国家金融管理规定，以许诺还本付息或者给予其他投资回报等方式，向不特定对象吸收资金的行为。</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lastRenderedPageBreak/>
        <w:t>非法集资的防范以及行政机关对非法集资的处置，适用本条例。法律、行政法规对非法从事银行、证券、保险、外汇等金融业务活动另有规定的，适用其规定。</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本条例所称国务院金融管理部门，是指中国人民银行、国务院金融监督管理机构和国务院外汇管理部门。</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第三条  本条例所称非法集资人，是指发起、主导或者组织实施非法集资的单位和个人；所称非法集资协助人，是指明知是非法集资而为其提供帮助并获取经济利益的单位和个人。</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第四条  国家禁止任何形式的非法集资，对非法集资坚持防范为主、</w:t>
      </w:r>
      <w:proofErr w:type="gramStart"/>
      <w:r w:rsidRPr="00FD2C0F">
        <w:rPr>
          <w:rFonts w:ascii="宋体" w:eastAsia="宋体" w:hAnsi="宋体" w:cs="宋体" w:hint="eastAsia"/>
          <w:color w:val="000000"/>
          <w:kern w:val="0"/>
          <w:sz w:val="27"/>
          <w:szCs w:val="27"/>
        </w:rPr>
        <w:t>打早打</w:t>
      </w:r>
      <w:proofErr w:type="gramEnd"/>
      <w:r w:rsidRPr="00FD2C0F">
        <w:rPr>
          <w:rFonts w:ascii="宋体" w:eastAsia="宋体" w:hAnsi="宋体" w:cs="宋体" w:hint="eastAsia"/>
          <w:color w:val="000000"/>
          <w:kern w:val="0"/>
          <w:sz w:val="27"/>
          <w:szCs w:val="27"/>
        </w:rPr>
        <w:t>小、综合治理、稳妥处置的原则。</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第五条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行业主管部门、监管部门应当按照职责分工，负责本行业、领域非法集资的防范和配合处置工作。</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lastRenderedPageBreak/>
        <w:t>第六条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第七条  各级人民政府应当合理保障防范和处置非法集资工作相关经费，并列入本级预算。</w:t>
      </w:r>
    </w:p>
    <w:p w:rsidR="00FD2C0F" w:rsidRPr="00FD2C0F" w:rsidRDefault="00FD2C0F" w:rsidP="00FD2C0F">
      <w:pPr>
        <w:widowControl/>
        <w:spacing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b/>
          <w:bCs/>
          <w:color w:val="000000"/>
          <w:kern w:val="0"/>
          <w:sz w:val="27"/>
        </w:rPr>
        <w:t xml:space="preserve">第二章  防  </w:t>
      </w:r>
      <w:proofErr w:type="gramStart"/>
      <w:r w:rsidRPr="00FD2C0F">
        <w:rPr>
          <w:rFonts w:ascii="宋体" w:eastAsia="宋体" w:hAnsi="宋体" w:cs="宋体" w:hint="eastAsia"/>
          <w:b/>
          <w:bCs/>
          <w:color w:val="000000"/>
          <w:kern w:val="0"/>
          <w:sz w:val="27"/>
        </w:rPr>
        <w:t>范</w:t>
      </w:r>
      <w:proofErr w:type="gramEnd"/>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第八条  地方各级人民政府应当建立非法集资监测预警机制，纳入社会治安综合治理体系，发挥网格化管理和基层群众自治组织的作用，运用大数据等现代信息技术手段，加强对非法集资的监测预警。</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行业主管部门、监管部门应当强化日常监督管理，负责本行业、领域非法集资的风险排查和监测预警。</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联席会议应当建立健全全国非法集资监测预警体系，推动建设国家监测预警平台，促进地方、部门信息共享，加强非法集资风险</w:t>
      </w:r>
      <w:proofErr w:type="gramStart"/>
      <w:r w:rsidRPr="00FD2C0F">
        <w:rPr>
          <w:rFonts w:ascii="宋体" w:eastAsia="宋体" w:hAnsi="宋体" w:cs="宋体" w:hint="eastAsia"/>
          <w:color w:val="000000"/>
          <w:kern w:val="0"/>
          <w:sz w:val="27"/>
          <w:szCs w:val="27"/>
        </w:rPr>
        <w:t>研</w:t>
      </w:r>
      <w:proofErr w:type="gramEnd"/>
      <w:r w:rsidRPr="00FD2C0F">
        <w:rPr>
          <w:rFonts w:ascii="宋体" w:eastAsia="宋体" w:hAnsi="宋体" w:cs="宋体" w:hint="eastAsia"/>
          <w:color w:val="000000"/>
          <w:kern w:val="0"/>
          <w:sz w:val="27"/>
          <w:szCs w:val="27"/>
        </w:rPr>
        <w:t>判，及时预警提示。</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第九条  市场监督管理部门应当加强企业、个体工商户名称和经营范围等商</w:t>
      </w:r>
      <w:proofErr w:type="gramStart"/>
      <w:r w:rsidRPr="00FD2C0F">
        <w:rPr>
          <w:rFonts w:ascii="宋体" w:eastAsia="宋体" w:hAnsi="宋体" w:cs="宋体" w:hint="eastAsia"/>
          <w:color w:val="000000"/>
          <w:kern w:val="0"/>
          <w:sz w:val="27"/>
          <w:szCs w:val="27"/>
        </w:rPr>
        <w:t>事登记</w:t>
      </w:r>
      <w:proofErr w:type="gramEnd"/>
      <w:r w:rsidRPr="00FD2C0F">
        <w:rPr>
          <w:rFonts w:ascii="宋体" w:eastAsia="宋体" w:hAnsi="宋体" w:cs="宋体" w:hint="eastAsia"/>
          <w:color w:val="000000"/>
          <w:kern w:val="0"/>
          <w:sz w:val="27"/>
          <w:szCs w:val="27"/>
        </w:rPr>
        <w:t>管理。除法律、行政法规和国家另有规定外，企业、个体工商户名称和经营范围中不得包含“金融”、“交易所”、“交易中心”、“理财”、“财富管理”、“股权众筹”等字样或者内容。</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lastRenderedPageBreak/>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第十条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w:t>
      </w:r>
      <w:proofErr w:type="gramStart"/>
      <w:r w:rsidRPr="00FD2C0F">
        <w:rPr>
          <w:rFonts w:ascii="宋体" w:eastAsia="宋体" w:hAnsi="宋体" w:cs="宋体" w:hint="eastAsia"/>
          <w:color w:val="000000"/>
          <w:kern w:val="0"/>
          <w:sz w:val="27"/>
          <w:szCs w:val="27"/>
        </w:rPr>
        <w:t>作出</w:t>
      </w:r>
      <w:proofErr w:type="gramEnd"/>
      <w:r w:rsidRPr="00FD2C0F">
        <w:rPr>
          <w:rFonts w:ascii="宋体" w:eastAsia="宋体" w:hAnsi="宋体" w:cs="宋体" w:hint="eastAsia"/>
          <w:color w:val="000000"/>
          <w:kern w:val="0"/>
          <w:sz w:val="27"/>
          <w:szCs w:val="27"/>
        </w:rPr>
        <w:t>处理。</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互联网信息服务提供者应当加强对用户发布信息的管理，不得制作、复制、发布、传播涉嫌非法集资的信息。发现涉嫌非法集资的信息，应当保存有关记录，并向处置非法集资牵头部门报告。</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第十一条  除国家另有规定外，任何单位和个人不得发布包含集资内容的广告或者以其他方式向社会公众进行集资宣传。</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市场监督管理部门会同处置非法集资牵头部门加强对涉嫌非法集资广告的监测。经处置非法集资牵头部门组织认定为非法集资的，市场监督管理部门应当及时依法查处相关非法集资广告。</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广告经营者、广告发布者应当依照法律、行政法规查验相关证明文件，核对广告内容。对没有相关证明文件且包含集资内容的广告，广告经营者不得提供设计、制作、代理服务，广告发布者不得发布。</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lastRenderedPageBreak/>
        <w:t>第十二条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第十三条  金融机构、非银行支付机构应当履行下列防范非法集资的义务：</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（一）建立健全内部管理制度，禁止分支机构和员工参与非法集资，防止他人利用其经营场所、销售渠道从事非法集资；</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（二）加强对社会公众防范非法集资的宣传教育，在经营场所醒目位置设置警示标识；</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（三）依法严格执行大额交易和可疑交易报告制度，对涉嫌非法集资资金异常流动的相关账户进行分析识别，并将有关情况及时报告所在地国务院金融管理部门分支机构、派出机构和处置非法集资牵头部门。</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第十四条  行业协会、商会应当加强行业自律管理、自我约束，督促、引导成员积极防范非法集资，不组织、不协助、不参与非法集资。</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第十五条  联席会议应当建立中央和地方上下联动的防范非法集资宣传教育工作机制，推动全国范围内防范非法集资宣传教育工作。</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lastRenderedPageBreak/>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行业主管部门、监管部门以及行业协会、商会应当根据本行业、领域非法集资风险特点，有针对性地开展防范非法集资宣传教育活动。</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新闻媒体应当开展防范非法集资公益宣传，并依法对非法集资进行舆论监督。</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第十六条  对涉嫌非法集资行为，任何单位和个人有权向处置非法集资牵头部门或者其他有关部门举报。</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国家鼓励对涉嫌非法集资行为进行举报。处置非法集资牵头部门以及其他有关部门应当公开举报电话和邮箱等举报方式、在政府网站设置举报专栏，接受举报，及时依法处理，并为举报人保密。</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第十七条  居民委员会、村民委员会发现所在区域有涉嫌非法集资行为的，应当向当地人民政府、处置非法集资牵头部门或者其他有关部门报告。</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第十八条  处置非法集资牵头部门和行业主管部门、监管部门发现本行政区域或者本行业、领域可能存在非法集资风险的，有权对相关单位和个人进行警示约谈，责令整改。</w:t>
      </w:r>
    </w:p>
    <w:p w:rsidR="00FD2C0F" w:rsidRPr="00FD2C0F" w:rsidRDefault="00FD2C0F" w:rsidP="00FD2C0F">
      <w:pPr>
        <w:widowControl/>
        <w:spacing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b/>
          <w:bCs/>
          <w:color w:val="000000"/>
          <w:kern w:val="0"/>
          <w:sz w:val="27"/>
        </w:rPr>
        <w:lastRenderedPageBreak/>
        <w:t>第三章  处  置</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第十九条  对本行政区域内的下列行为，涉嫌非法集资的，处置非法集资牵头部门应当及时组织有关行业主管部门、监管部门以及国务院金融管理部门分支机构、派出机构进行调查认定：</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（一）设立互联网企业、投资及投资咨询类企业、各类交易场所或者平台、农民专业合作社、资金互助组织以及其他组织吸收资金；</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（二）以发行或者转让股权、债权，募集基金，销售保险产品，或者以从事各类资产管理、虚拟货币、融资租赁业务等名义吸收资金；</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（三）在销售商品、提供服务、投资项目等商业活动中，以承诺给付货币、股权、实物等回报的形式吸收资金；</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（四）违反法律、行政法规或者国家有关规定，通过大众传播媒介、即时通信工具或者其他方式公开传播吸收资金信息；</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（五）其他涉嫌非法集资的行为。</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第二十条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lastRenderedPageBreak/>
        <w:t>处置非法集资牵头部门对组织调查认定职责存在争议的，由其共同的上级处置非法集资牵头部门确定；对跨省、自治区、直辖市组织调查认定职责存在争议的，由联席会议确定。</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第二十一条  处置非法集资牵头部门组织调查涉嫌非法集资行为，可以采取下列措施：</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（一）进入涉嫌非法集资的场所进行调查取证；</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（二）询问与被调查事件有关的单位和个人，要求其对有关事项</w:t>
      </w:r>
      <w:proofErr w:type="gramStart"/>
      <w:r w:rsidRPr="00FD2C0F">
        <w:rPr>
          <w:rFonts w:ascii="宋体" w:eastAsia="宋体" w:hAnsi="宋体" w:cs="宋体" w:hint="eastAsia"/>
          <w:color w:val="000000"/>
          <w:kern w:val="0"/>
          <w:sz w:val="27"/>
          <w:szCs w:val="27"/>
        </w:rPr>
        <w:t>作出</w:t>
      </w:r>
      <w:proofErr w:type="gramEnd"/>
      <w:r w:rsidRPr="00FD2C0F">
        <w:rPr>
          <w:rFonts w:ascii="宋体" w:eastAsia="宋体" w:hAnsi="宋体" w:cs="宋体" w:hint="eastAsia"/>
          <w:color w:val="000000"/>
          <w:kern w:val="0"/>
          <w:sz w:val="27"/>
          <w:szCs w:val="27"/>
        </w:rPr>
        <w:t>说明；</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（三）查阅、复制与被调查事件有关的文件、资料、电子数据等，对可能被转移、隐匿或者毁损的文件、资料、电子设备等予以封存；</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（四）经处置非法集资牵头部门主要负责人批准，依法查询涉嫌非法集资的有关账户。</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调查人员不得少于2人，并应当出示执法证件。</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与被调查事件有关的单位和个人应当配合调查，不得拒绝、阻碍。</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第二十二条  处置非法集资牵头部门对涉嫌非法集资行为组织调查，有权要求暂停集资行为，通知市场监督管理部门或者其他有关部门暂停为涉嫌非法集资的有关单位办理设立、变更或者注销登记。</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第二十三条  经调查认定属于非法集资的，处置非法集资牵头部门应当责令非法集资人、非法集资协助人立即停止有关非法活动；发现</w:t>
      </w:r>
      <w:r w:rsidRPr="00FD2C0F">
        <w:rPr>
          <w:rFonts w:ascii="宋体" w:eastAsia="宋体" w:hAnsi="宋体" w:cs="宋体" w:hint="eastAsia"/>
          <w:color w:val="000000"/>
          <w:kern w:val="0"/>
          <w:sz w:val="27"/>
          <w:szCs w:val="27"/>
        </w:rPr>
        <w:lastRenderedPageBreak/>
        <w:t>涉嫌犯罪的，应当按照规定及时将案件移送公安机关，并配合做好相关工作。</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行政机关对非法集资行为的调查认定，不是依法追究刑事责任的必经程序。</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第二十四条  根据处置非法集资的需要，处置非法集资牵头部门可以采取下列措施：</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（一）查封有关经营场所，查封、扣押有关资产；</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（二）责令非法集资人、非法集资协助人追回、变价出售有关资产用于清退集资资金；</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采取前款第一项、第二项规定的措施，应当经处置非法集资牵头部门主要负责人批准。</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第二十五条  非法集资人、非法集资协助人应当向集资参与人清退集资资金。清退过程应当接受处置非法集资牵头部门监督。</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任何单位和个人不得从非法集资中获取经济利益。</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因参与非法集资受到的损失，由集资参与人自行承担。</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lastRenderedPageBreak/>
        <w:t>第二十六条  清退集资资金来源包括：</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（一）非法集资资金余额；</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（二）非法集资资金的收益或者转换的其他资产及其收益；</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（三）非法集资人及其股东、实际控制人、董事、监事、高级管理人员和其他相关人员从非法集资中获得的经济利益；</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（四）非法集资人隐匿、转移的非法集资资金或者相关资产；</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（五）在非法集资中获得的广告费、代言费、代理费、好处费、</w:t>
      </w:r>
      <w:proofErr w:type="gramStart"/>
      <w:r w:rsidRPr="00FD2C0F">
        <w:rPr>
          <w:rFonts w:ascii="宋体" w:eastAsia="宋体" w:hAnsi="宋体" w:cs="宋体" w:hint="eastAsia"/>
          <w:color w:val="000000"/>
          <w:kern w:val="0"/>
          <w:sz w:val="27"/>
          <w:szCs w:val="27"/>
        </w:rPr>
        <w:t>返点费</w:t>
      </w:r>
      <w:proofErr w:type="gramEnd"/>
      <w:r w:rsidRPr="00FD2C0F">
        <w:rPr>
          <w:rFonts w:ascii="宋体" w:eastAsia="宋体" w:hAnsi="宋体" w:cs="宋体" w:hint="eastAsia"/>
          <w:color w:val="000000"/>
          <w:kern w:val="0"/>
          <w:sz w:val="27"/>
          <w:szCs w:val="27"/>
        </w:rPr>
        <w:t>、佣金、提成等经济利益；</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（六）可以作为清退集资资金的其他资产。</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第二十七条  为非法集资设立的企业、个体工商户和农民专业合作社，由市场监督管理部门吊销营业执照。为非法集资设立的网站、开发的移动应用程序等互联网应用，由电信主管部门依法予以关闭。</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第二十八条  国务院金融管理部门及其分支机构、派出机构，地方人民政府有关部门以及其他有关单位和个人，对处置非法集资工作应当给予支持、配合。</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任何单位和个人不得阻挠、妨碍处置非法集资工作。</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第二十九条  处置非法集资过程中，有关地方人民政府应当采取有效措施维护社会稳定。</w:t>
      </w:r>
    </w:p>
    <w:p w:rsidR="00FD2C0F" w:rsidRPr="00FD2C0F" w:rsidRDefault="00FD2C0F" w:rsidP="00FD2C0F">
      <w:pPr>
        <w:widowControl/>
        <w:spacing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b/>
          <w:bCs/>
          <w:color w:val="000000"/>
          <w:kern w:val="0"/>
          <w:sz w:val="27"/>
        </w:rPr>
        <w:lastRenderedPageBreak/>
        <w:t>第四章  法律责任</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第三十条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第三十一条  对非法集资协助人，由处置非法集资牵头部门给予警告，处违法所得1倍以上3倍以下的罚款；构成犯罪的，依法追究刑事责任。</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第三十二条  非法集资人、非法集资协助人不能同时履行所承担的清退集资资金和缴纳罚款义务时，先清退集资资金。</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第三十三条  对依照本条例受到行政处罚的非法集资人、非法集资协助人，由有关部门建立信用记录，按照规定将其信用记录纳入全国信用信息共享平台。</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第三十四条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lastRenderedPageBreak/>
        <w:t>广告经营者、广告发布者未按照规定查验相关证明文件、核对广告内容的，由市场监督管理部门责令改正，并依照《中华人民共和国广告法》的规定予以处罚。</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第三十五条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第三十六条  与被调查事件有关的单位和个人不配合调查，拒绝提供相关文件、资料、电子数据等或者提供虚假文件、资料、电子数据等的，由处置非法集资牵头部门责令改正，给予警告，处5万元以上50万元以下的罚款。</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阻碍调查人员依法执行职务，构成违反治安管理行为的，由公安机关依法给予治安管理处罚；构成犯罪的，依法追究刑事责任。</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第三十七条  国家机关工作人员有下列行为之一的，依法给予处分：</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（一）明知所主管、监管的单位有涉嫌非法集资行为，未依法及时处理；</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（二）未按照规定及时履行对非法集资的防范职责，或者不配合非法集资处置，造成严重后果；</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lastRenderedPageBreak/>
        <w:t>（三）在防范和处置非法集资过程中滥用职权、玩忽职守、徇私舞弊；</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（四）通过职务行为或者利用职务影响，支持、包庇、纵容非法集资。</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前款规定的行为构成犯罪的，依法追究刑事责任。</w:t>
      </w:r>
    </w:p>
    <w:p w:rsidR="00FD2C0F" w:rsidRPr="00FD2C0F" w:rsidRDefault="00FD2C0F" w:rsidP="00FD2C0F">
      <w:pPr>
        <w:widowControl/>
        <w:spacing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b/>
          <w:bCs/>
          <w:color w:val="000000"/>
          <w:kern w:val="0"/>
          <w:sz w:val="27"/>
        </w:rPr>
        <w:t>第五章  附  则</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第三十八条  各省、自治区、直辖市可以根据本条例制定防范和处置非法集资工作实施细则。</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第三十九条  未经依法许可或者违反国家金融管理规定，擅自从事发放贷款、支付结算、票据贴现等金融业务活动的，由国务院金融管理部门或者地方金融管理部门按照监督管理职责分工进行处置。</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法律、行政法规对其他非法金融业务活动的防范和处置没有明确规定的，参照本条例的有关规定执行。其他非法金融业务活动的具体类型由国务院金融管理部门确定。</w:t>
      </w:r>
    </w:p>
    <w:p w:rsidR="00FD2C0F" w:rsidRPr="00FD2C0F" w:rsidRDefault="00FD2C0F" w:rsidP="00FD2C0F">
      <w:pPr>
        <w:widowControl/>
        <w:spacing w:after="240" w:line="480" w:lineRule="atLeast"/>
        <w:ind w:firstLine="480"/>
        <w:rPr>
          <w:rFonts w:ascii="宋体" w:eastAsia="宋体" w:hAnsi="宋体" w:cs="宋体" w:hint="eastAsia"/>
          <w:color w:val="000000"/>
          <w:kern w:val="0"/>
          <w:sz w:val="27"/>
          <w:szCs w:val="27"/>
        </w:rPr>
      </w:pPr>
      <w:r w:rsidRPr="00FD2C0F">
        <w:rPr>
          <w:rFonts w:ascii="宋体" w:eastAsia="宋体" w:hAnsi="宋体" w:cs="宋体" w:hint="eastAsia"/>
          <w:color w:val="000000"/>
          <w:kern w:val="0"/>
          <w:sz w:val="27"/>
          <w:szCs w:val="27"/>
        </w:rPr>
        <w:t>第四十条  本条例自2021年5月1日起施行。1998年7月13日国务院发布的《非法金融机构和非法金融业务活动取缔办法》同时废止。</w:t>
      </w:r>
    </w:p>
    <w:p w:rsidR="0069212C" w:rsidRPr="00FD2C0F" w:rsidRDefault="0069212C"/>
    <w:sectPr w:rsidR="0069212C" w:rsidRPr="00FD2C0F" w:rsidSect="006921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2C0F"/>
    <w:rsid w:val="000448EE"/>
    <w:rsid w:val="00597A9F"/>
    <w:rsid w:val="0069212C"/>
    <w:rsid w:val="006B78CB"/>
    <w:rsid w:val="006C4615"/>
    <w:rsid w:val="007C0743"/>
    <w:rsid w:val="008306E3"/>
    <w:rsid w:val="00C132FE"/>
    <w:rsid w:val="00C6589B"/>
    <w:rsid w:val="00ED1ADA"/>
    <w:rsid w:val="00FD2C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C0F"/>
    <w:pPr>
      <w:widowControl/>
      <w:spacing w:before="100" w:beforeAutospacing="1" w:after="100" w:afterAutospacing="1"/>
      <w:jc w:val="left"/>
    </w:pPr>
    <w:rPr>
      <w:rFonts w:ascii="宋体" w:eastAsia="宋体" w:hAnsi="宋体" w:cs="宋体"/>
      <w:kern w:val="0"/>
      <w:sz w:val="24"/>
      <w:szCs w:val="24"/>
    </w:rPr>
  </w:style>
  <w:style w:type="character" w:customStyle="1" w:styleId="b">
    <w:name w:val="b"/>
    <w:basedOn w:val="a0"/>
    <w:rsid w:val="00FD2C0F"/>
  </w:style>
  <w:style w:type="paragraph" w:customStyle="1" w:styleId="ins1">
    <w:name w:val="ins1"/>
    <w:basedOn w:val="a"/>
    <w:rsid w:val="00FD2C0F"/>
    <w:pPr>
      <w:widowControl/>
      <w:spacing w:before="100" w:beforeAutospacing="1" w:after="100" w:afterAutospacing="1"/>
      <w:jc w:val="left"/>
    </w:pPr>
    <w:rPr>
      <w:rFonts w:ascii="宋体" w:eastAsia="宋体" w:hAnsi="宋体" w:cs="宋体"/>
      <w:kern w:val="0"/>
      <w:sz w:val="24"/>
      <w:szCs w:val="24"/>
    </w:rPr>
  </w:style>
  <w:style w:type="paragraph" w:customStyle="1" w:styleId="ins2">
    <w:name w:val="ins2"/>
    <w:basedOn w:val="a"/>
    <w:rsid w:val="00FD2C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2C0F"/>
    <w:rPr>
      <w:b/>
      <w:bCs/>
    </w:rPr>
  </w:style>
</w:styles>
</file>

<file path=word/webSettings.xml><?xml version="1.0" encoding="utf-8"?>
<w:webSettings xmlns:r="http://schemas.openxmlformats.org/officeDocument/2006/relationships" xmlns:w="http://schemas.openxmlformats.org/wordprocessingml/2006/main">
  <w:divs>
    <w:div w:id="221916498">
      <w:bodyDiv w:val="1"/>
      <w:marLeft w:val="0"/>
      <w:marRight w:val="0"/>
      <w:marTop w:val="0"/>
      <w:marBottom w:val="0"/>
      <w:divBdr>
        <w:top w:val="none" w:sz="0" w:space="0" w:color="auto"/>
        <w:left w:val="none" w:sz="0" w:space="0" w:color="auto"/>
        <w:bottom w:val="none" w:sz="0" w:space="0" w:color="auto"/>
        <w:right w:val="none" w:sz="0" w:space="0" w:color="auto"/>
      </w:divBdr>
      <w:divsChild>
        <w:div w:id="43874955">
          <w:marLeft w:val="0"/>
          <w:marRight w:val="0"/>
          <w:marTop w:val="0"/>
          <w:marBottom w:val="0"/>
          <w:divBdr>
            <w:top w:val="none" w:sz="0" w:space="0" w:color="auto"/>
            <w:left w:val="none" w:sz="0" w:space="0" w:color="auto"/>
            <w:bottom w:val="single" w:sz="6" w:space="0" w:color="E0E0E0"/>
            <w:right w:val="none" w:sz="0" w:space="0" w:color="auto"/>
          </w:divBdr>
          <w:divsChild>
            <w:div w:id="255021282">
              <w:marLeft w:val="0"/>
              <w:marRight w:val="0"/>
              <w:marTop w:val="0"/>
              <w:marBottom w:val="0"/>
              <w:divBdr>
                <w:top w:val="none" w:sz="0" w:space="0" w:color="auto"/>
                <w:left w:val="none" w:sz="0" w:space="0" w:color="auto"/>
                <w:bottom w:val="none" w:sz="0" w:space="0" w:color="auto"/>
                <w:right w:val="none" w:sz="0" w:space="0" w:color="auto"/>
              </w:divBdr>
            </w:div>
            <w:div w:id="261496245">
              <w:marLeft w:val="0"/>
              <w:marRight w:val="0"/>
              <w:marTop w:val="0"/>
              <w:marBottom w:val="0"/>
              <w:divBdr>
                <w:top w:val="none" w:sz="0" w:space="0" w:color="auto"/>
                <w:left w:val="none" w:sz="0" w:space="0" w:color="auto"/>
                <w:bottom w:val="none" w:sz="0" w:space="0" w:color="auto"/>
                <w:right w:val="none" w:sz="0" w:space="0" w:color="auto"/>
              </w:divBdr>
            </w:div>
            <w:div w:id="1183475953">
              <w:marLeft w:val="0"/>
              <w:marRight w:val="0"/>
              <w:marTop w:val="0"/>
              <w:marBottom w:val="0"/>
              <w:divBdr>
                <w:top w:val="none" w:sz="0" w:space="0" w:color="auto"/>
                <w:left w:val="none" w:sz="0" w:space="0" w:color="auto"/>
                <w:bottom w:val="none" w:sz="0" w:space="0" w:color="auto"/>
                <w:right w:val="none" w:sz="0" w:space="0" w:color="auto"/>
              </w:divBdr>
            </w:div>
          </w:divsChild>
        </w:div>
        <w:div w:id="1086803070">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2021-04-15T01:00:00Z</dcterms:created>
  <dcterms:modified xsi:type="dcterms:W3CDTF">2021-04-15T01:02:00Z</dcterms:modified>
</cp:coreProperties>
</file>